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9C4895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AF1904" w:rsidP="00045A79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О признаках неосвоенной земли и условиях ее изъятия рассказала в эфире региональных новостей телеканала «Россия 1» заместитель руководителя новосибирского Росреестра </w:t>
      </w:r>
      <w:r w:rsidR="0034064B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</w:p>
    <w:p w:rsidR="00AF1904" w:rsidRDefault="00AF1904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Правительство России утвердило перечень признаков неиспользования земельных участков из состава земель населенных пунктов, садовых и огородных земельных участков. Документ, который вступает в силу 1 сентября 2025 года, содержит критерии, которые позволят оценить, осуществляется ли использование земельных участков в установленные Законом № 307-ФЗ сроки. 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Основная цель постановления – повышение качества использования земельными ресурсами и защита граждан, чьи участки расположены по соседству с заброшенными либо захламленными.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Теперь владельцы земельных участков будут четко понимать, какие меры необходимо предпринять для недопущения причин, которые в итоге могут привести к изъятию участка.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частности, не допускать захламление или загрязнение отходами более половины площади участка, зарастание более половины участка различными сорными растениями (высотой более 1 метра), а также деревьями и кустарниками, которые не являются предметами благоустройства и озеленения.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Важно также содержать здание либо сооружение, расположенное на участке, в надлежащем состоянии - не допускать разрушения крыши, стен, выпадения окон или стёкол из окон.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числе признако</w:t>
      </w:r>
      <w:r w:rsidR="00A658F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</w:t>
      </w:r>
      <w:bookmarkStart w:id="0" w:name="_GoBack"/>
      <w:bookmarkEnd w:id="0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неиспользования земельного участка относится и отсутствие здания или сооружения в течение 5 лет на участке, предназначенном для строительства (при этом установлены случаи, когда срок может быть иным) или 7 лет на участке, предназначенном для индивидуального жилищного строительства.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«Стоит серьезно относиться к владению земельными участками, использовать их по целевому назначению и не допускать нарушений</w:t>
      </w: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подчеркнула заместитель руководителя новосибирского Росреестра </w:t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–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 xml:space="preserve">В рамках контрольно-надзорных полномочий государственные инспекторы по использованию и охране земель Росреестра будут проводить профилактические мероприятия, при обнаружении признаков нарушений собственники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lastRenderedPageBreak/>
        <w:t>участков получат предупреждения, в которых будут указаны сроки их устранения, что в конечном итоге позволит избежать процедуру изъятия участка, как крайней меры».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F036C8" w:rsidRDefault="00AF1904" w:rsidP="00AF190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интервью с заместителем руководителя Управления Росреестра по Новосибирской области Натальей Ивчатовой можно посмотреть по ссылке </w:t>
      </w:r>
      <w:hyperlink r:id="rId8" w:history="1">
        <w:r w:rsidRPr="0067260E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https://www.nsktv.ru/news/city/vesti_novosibirsk_razobralis_v_tonkostyakh_novogo_zakona_o_neosvoennoy_zemle/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9C489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C4895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9C489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D8" w:rsidRDefault="00DA7FD8">
      <w:r>
        <w:separator/>
      </w:r>
    </w:p>
  </w:endnote>
  <w:endnote w:type="continuationSeparator" w:id="0">
    <w:p w:rsidR="00DA7FD8" w:rsidRDefault="00DA7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D8" w:rsidRDefault="00DA7FD8">
      <w:r>
        <w:separator/>
      </w:r>
    </w:p>
  </w:footnote>
  <w:footnote w:type="continuationSeparator" w:id="0">
    <w:p w:rsidR="00DA7FD8" w:rsidRDefault="00DA7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3F4902"/>
    <w:rsid w:val="004A5400"/>
    <w:rsid w:val="004B144C"/>
    <w:rsid w:val="004B3677"/>
    <w:rsid w:val="004D01D8"/>
    <w:rsid w:val="005139E9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9C4895"/>
    <w:rsid w:val="00A42A67"/>
    <w:rsid w:val="00A658F4"/>
    <w:rsid w:val="00AE17AC"/>
    <w:rsid w:val="00AF1904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DA7FD8"/>
    <w:rsid w:val="00DB0F17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9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C489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9C489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9C4895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9C489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9C4895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9C489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9C489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9C489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9C489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C48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9C489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C48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C48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C48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C48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C48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C48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C489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C48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C4895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9C4895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9C489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C4895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9C48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C4895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9C489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C48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9C4895"/>
    <w:rPr>
      <w:i/>
    </w:rPr>
  </w:style>
  <w:style w:type="paragraph" w:styleId="aa">
    <w:name w:val="header"/>
    <w:basedOn w:val="a"/>
    <w:link w:val="ab"/>
    <w:uiPriority w:val="99"/>
    <w:unhideWhenUsed/>
    <w:rsid w:val="009C4895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9C4895"/>
  </w:style>
  <w:style w:type="paragraph" w:styleId="ac">
    <w:name w:val="footer"/>
    <w:basedOn w:val="a"/>
    <w:link w:val="ad"/>
    <w:uiPriority w:val="99"/>
    <w:unhideWhenUsed/>
    <w:rsid w:val="009C489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C4895"/>
  </w:style>
  <w:style w:type="paragraph" w:styleId="ae">
    <w:name w:val="caption"/>
    <w:basedOn w:val="a"/>
    <w:next w:val="a"/>
    <w:uiPriority w:val="35"/>
    <w:semiHidden/>
    <w:unhideWhenUsed/>
    <w:qFormat/>
    <w:rsid w:val="009C489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C4895"/>
  </w:style>
  <w:style w:type="table" w:styleId="af">
    <w:name w:val="Table Grid"/>
    <w:basedOn w:val="a1"/>
    <w:rsid w:val="009C489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C48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C489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9C489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C489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C489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C489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9C4895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9C4895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9C4895"/>
    <w:rPr>
      <w:sz w:val="18"/>
    </w:rPr>
  </w:style>
  <w:style w:type="character" w:styleId="af3">
    <w:name w:val="footnote reference"/>
    <w:uiPriority w:val="99"/>
    <w:unhideWhenUsed/>
    <w:rsid w:val="009C4895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9C4895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9C4895"/>
    <w:rPr>
      <w:sz w:val="20"/>
    </w:rPr>
  </w:style>
  <w:style w:type="character" w:styleId="af6">
    <w:name w:val="endnote reference"/>
    <w:uiPriority w:val="99"/>
    <w:semiHidden/>
    <w:unhideWhenUsed/>
    <w:rsid w:val="009C489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C4895"/>
    <w:pPr>
      <w:spacing w:after="57"/>
    </w:pPr>
  </w:style>
  <w:style w:type="paragraph" w:styleId="23">
    <w:name w:val="toc 2"/>
    <w:basedOn w:val="a"/>
    <w:next w:val="a"/>
    <w:uiPriority w:val="39"/>
    <w:unhideWhenUsed/>
    <w:rsid w:val="009C489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C489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C489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C48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C48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C48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C48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C4895"/>
    <w:pPr>
      <w:spacing w:after="57"/>
      <w:ind w:left="2268"/>
    </w:pPr>
  </w:style>
  <w:style w:type="paragraph" w:styleId="af7">
    <w:name w:val="TOC Heading"/>
    <w:uiPriority w:val="39"/>
    <w:unhideWhenUsed/>
    <w:rsid w:val="009C4895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9C4895"/>
  </w:style>
  <w:style w:type="paragraph" w:styleId="af9">
    <w:name w:val="Balloon Text"/>
    <w:basedOn w:val="a"/>
    <w:semiHidden/>
    <w:rsid w:val="009C4895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9C4895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9C4895"/>
    <w:pPr>
      <w:spacing w:after="120"/>
    </w:pPr>
  </w:style>
  <w:style w:type="paragraph" w:styleId="afc">
    <w:name w:val="Normal (Web)"/>
    <w:basedOn w:val="a"/>
    <w:uiPriority w:val="99"/>
    <w:rsid w:val="009C489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C4895"/>
  </w:style>
  <w:style w:type="character" w:customStyle="1" w:styleId="visited">
    <w:name w:val="visited"/>
    <w:basedOn w:val="a0"/>
    <w:rsid w:val="009C4895"/>
  </w:style>
  <w:style w:type="character" w:customStyle="1" w:styleId="blk">
    <w:name w:val="blk"/>
    <w:basedOn w:val="a0"/>
    <w:rsid w:val="009C4895"/>
  </w:style>
  <w:style w:type="character" w:customStyle="1" w:styleId="match">
    <w:name w:val="match"/>
    <w:basedOn w:val="a0"/>
    <w:rsid w:val="009C4895"/>
  </w:style>
  <w:style w:type="paragraph" w:customStyle="1" w:styleId="formattexttopleveltext">
    <w:name w:val="formattext topleveltext"/>
    <w:basedOn w:val="a"/>
    <w:rsid w:val="009C4895"/>
    <w:pPr>
      <w:spacing w:before="100" w:beforeAutospacing="1" w:after="100" w:afterAutospacing="1"/>
    </w:pPr>
  </w:style>
  <w:style w:type="paragraph" w:styleId="24">
    <w:name w:val="Body Text Indent 2"/>
    <w:basedOn w:val="a"/>
    <w:rsid w:val="009C489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C4895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9C48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C4895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9C4895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9C4895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9C4895"/>
    <w:rPr>
      <w:b/>
      <w:bCs/>
    </w:rPr>
  </w:style>
  <w:style w:type="character" w:styleId="aff0">
    <w:name w:val="Emphasis"/>
    <w:uiPriority w:val="20"/>
    <w:qFormat/>
    <w:rsid w:val="009C4895"/>
    <w:rPr>
      <w:i/>
      <w:iCs/>
    </w:rPr>
  </w:style>
  <w:style w:type="paragraph" w:customStyle="1" w:styleId="Standard">
    <w:name w:val="Standard"/>
    <w:rsid w:val="009C489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ktv.ru/news/city/vesti_novosibirsk_razobralis_v_tonkostyakh_novogo_zakona_o_neosvoennoy_zemle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333</cp:revision>
  <cp:lastPrinted>2025-05-23T04:23:00Z</cp:lastPrinted>
  <dcterms:created xsi:type="dcterms:W3CDTF">2009-04-08T02:19:00Z</dcterms:created>
  <dcterms:modified xsi:type="dcterms:W3CDTF">2025-06-26T05:00:00Z</dcterms:modified>
  <cp:version>917504</cp:version>
</cp:coreProperties>
</file>